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473F" w14:textId="77777777" w:rsidR="00CA6954" w:rsidRDefault="00CA6954" w:rsidP="00CA69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</w:rPr>
      </w:pPr>
    </w:p>
    <w:tbl>
      <w:tblPr>
        <w:tblW w:w="1033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6"/>
        <w:gridCol w:w="5409"/>
      </w:tblGrid>
      <w:tr w:rsidR="00CA6954" w14:paraId="459AD784" w14:textId="77777777" w:rsidTr="00410B3B">
        <w:tc>
          <w:tcPr>
            <w:tcW w:w="4926" w:type="dxa"/>
          </w:tcPr>
          <w:p w14:paraId="6FCAF1C2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D7708">
              <w:rPr>
                <w:rFonts w:eastAsia="Times New Roman"/>
                <w:b/>
                <w:noProof/>
                <w:color w:val="FF0000"/>
              </w:rPr>
              <w:t xml:space="preserve">CÔNG TY </w:t>
            </w: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  <w:p w14:paraId="57A99051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409" w:type="dxa"/>
          </w:tcPr>
          <w:p w14:paraId="1F12628C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CỘNG HÒA XÃ HỘI CHỦ NGHĨA VIỆT NAM</w:t>
            </w:r>
          </w:p>
          <w:p w14:paraId="1F5B56A6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Độc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Lập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color w:val="000000"/>
              </w:rPr>
              <w:t>Tự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do – </w:t>
            </w:r>
            <w:proofErr w:type="spellStart"/>
            <w:r>
              <w:rPr>
                <w:rFonts w:eastAsia="Times New Roman"/>
                <w:b/>
                <w:color w:val="000000"/>
              </w:rPr>
              <w:t>Hạnh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Phúc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0F4ABBBC" wp14:editId="4110E58D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8578" y="3780000"/>
                                <a:ext cx="1934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314F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2pt;margin-top:15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0E17E437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CA6954" w14:paraId="57AC5625" w14:textId="77777777" w:rsidTr="00410B3B">
        <w:trPr>
          <w:trHeight w:val="281"/>
        </w:trPr>
        <w:tc>
          <w:tcPr>
            <w:tcW w:w="4926" w:type="dxa"/>
          </w:tcPr>
          <w:p w14:paraId="604AAC02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34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Số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eastAsia="Times New Roman"/>
                <w:b/>
                <w:noProof/>
                <w:color w:val="FF0000"/>
              </w:rPr>
              <w:t>[_]</w:t>
            </w:r>
            <w:r>
              <w:rPr>
                <w:rFonts w:eastAsia="Times New Roman"/>
                <w:color w:val="000000"/>
              </w:rPr>
              <w:t>/HĐCN</w:t>
            </w:r>
          </w:p>
          <w:p w14:paraId="2BB5A663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409" w:type="dxa"/>
          </w:tcPr>
          <w:p w14:paraId="72BCFFC0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</w:tbl>
    <w:p w14:paraId="0971AAC7" w14:textId="77777777" w:rsidR="00CA6954" w:rsidRDefault="00CA6954" w:rsidP="00CA6954">
      <w:pPr>
        <w:keepNext/>
        <w:spacing w:line="276" w:lineRule="auto"/>
        <w:jc w:val="both"/>
        <w:rPr>
          <w:b/>
        </w:rPr>
      </w:pPr>
    </w:p>
    <w:p w14:paraId="68B145E5" w14:textId="77777777" w:rsidR="00CA6954" w:rsidRDefault="00CA6954" w:rsidP="00CA6954">
      <w:pPr>
        <w:spacing w:after="0"/>
        <w:jc w:val="center"/>
        <w:rPr>
          <w:b/>
        </w:rPr>
      </w:pPr>
      <w:r>
        <w:rPr>
          <w:b/>
        </w:rPr>
        <w:t>HỢP ĐỒNG CHUYỂN NHƯỢNG CỔ PHẦN</w:t>
      </w:r>
    </w:p>
    <w:p w14:paraId="73D34578" w14:textId="77777777" w:rsidR="00CA6954" w:rsidRDefault="00CA6954" w:rsidP="00CA6954">
      <w:pPr>
        <w:keepNext/>
        <w:spacing w:line="276" w:lineRule="auto"/>
        <w:jc w:val="both"/>
        <w:rPr>
          <w:b/>
        </w:rPr>
      </w:pPr>
    </w:p>
    <w:p w14:paraId="0B1D0049" w14:textId="77777777" w:rsidR="00CA6954" w:rsidRDefault="00CA6954" w:rsidP="00CA6954">
      <w:pPr>
        <w:keepNext/>
        <w:spacing w:line="276" w:lineRule="auto"/>
        <w:jc w:val="both"/>
      </w:pP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r w:rsidRPr="007D7708">
        <w:rPr>
          <w:b/>
          <w:noProof/>
          <w:color w:val="FF0000"/>
        </w:rPr>
        <w:t xml:space="preserve">CÔNG TY </w:t>
      </w:r>
      <w:r>
        <w:rPr>
          <w:rFonts w:eastAsia="Times New Roman"/>
          <w:b/>
          <w:noProof/>
          <w:color w:val="FF0000"/>
        </w:rPr>
        <w:t>[_]</w:t>
      </w:r>
      <w:r>
        <w:rPr>
          <w:b/>
        </w:rPr>
        <w:t xml:space="preserve"> (“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”)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rPr>
          <w:color w:val="FF0000"/>
        </w:rPr>
        <w:t>ngày</w:t>
      </w:r>
      <w:proofErr w:type="spellEnd"/>
      <w:r>
        <w:rPr>
          <w:color w:val="FF0000"/>
        </w:rPr>
        <w:t xml:space="preserve"> _________ </w:t>
      </w:r>
      <w:proofErr w:type="spellStart"/>
      <w:r>
        <w:t>giữa</w:t>
      </w:r>
      <w:proofErr w:type="spellEnd"/>
      <w:r>
        <w:t>:</w:t>
      </w:r>
    </w:p>
    <w:tbl>
      <w:tblPr>
        <w:tblW w:w="9347" w:type="dxa"/>
        <w:tblLayout w:type="fixed"/>
        <w:tblLook w:val="0400" w:firstRow="0" w:lastRow="0" w:firstColumn="0" w:lastColumn="0" w:noHBand="0" w:noVBand="1"/>
      </w:tblPr>
      <w:tblGrid>
        <w:gridCol w:w="236"/>
        <w:gridCol w:w="2224"/>
        <w:gridCol w:w="6311"/>
        <w:gridCol w:w="576"/>
      </w:tblGrid>
      <w:tr w:rsidR="00CA6954" w14:paraId="1A5B214F" w14:textId="77777777" w:rsidTr="00CA6954">
        <w:tc>
          <w:tcPr>
            <w:tcW w:w="9347" w:type="dxa"/>
            <w:gridSpan w:val="4"/>
            <w:vAlign w:val="center"/>
          </w:tcPr>
          <w:p w14:paraId="72A0B560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noProof/>
                <w:color w:val="FF0000"/>
              </w:rPr>
              <w:t>Ông/Bà [_]</w:t>
            </w:r>
          </w:p>
        </w:tc>
      </w:tr>
      <w:tr w:rsidR="00CA6954" w14:paraId="4E1A4EC7" w14:textId="77777777" w:rsidTr="00CA6954">
        <w:trPr>
          <w:gridAfter w:val="1"/>
          <w:wAfter w:w="576" w:type="dxa"/>
        </w:trPr>
        <w:tc>
          <w:tcPr>
            <w:tcW w:w="236" w:type="dxa"/>
          </w:tcPr>
          <w:p w14:paraId="351989E0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Times New Roman"/>
                <w:b/>
              </w:rPr>
            </w:pPr>
          </w:p>
        </w:tc>
        <w:tc>
          <w:tcPr>
            <w:tcW w:w="2224" w:type="dxa"/>
          </w:tcPr>
          <w:p w14:paraId="2FCB165D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CCCD/</w:t>
            </w:r>
            <w:proofErr w:type="spellStart"/>
            <w:r>
              <w:rPr>
                <w:rFonts w:eastAsia="Times New Roman"/>
              </w:rPr>
              <w:t>Giấy</w:t>
            </w:r>
            <w:proofErr w:type="spellEnd"/>
            <w:r>
              <w:rPr>
                <w:rFonts w:eastAsia="Times New Roman"/>
              </w:rPr>
              <w:t xml:space="preserve"> CNĐKDN </w:t>
            </w:r>
            <w:proofErr w:type="spellStart"/>
            <w:r>
              <w:rPr>
                <w:rFonts w:eastAsia="Times New Roman"/>
              </w:rPr>
              <w:t>số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6311" w:type="dxa"/>
          </w:tcPr>
          <w:p w14:paraId="1D25CC46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color w:val="FF0000"/>
              </w:rPr>
              <w:t xml:space="preserve">[_] </w:t>
            </w:r>
            <w:r>
              <w:rPr>
                <w:rFonts w:eastAsia="Times New Roman"/>
              </w:rPr>
              <w:t xml:space="preserve">do </w:t>
            </w:r>
            <w:r>
              <w:rPr>
                <w:rFonts w:eastAsia="Times New Roman"/>
                <w:b/>
                <w:noProof/>
                <w:color w:val="FF0000"/>
              </w:rPr>
              <w:t>[_]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cấp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ngày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</w:tc>
      </w:tr>
      <w:tr w:rsidR="00CA6954" w14:paraId="6F737854" w14:textId="77777777" w:rsidTr="00CA6954">
        <w:trPr>
          <w:gridAfter w:val="1"/>
          <w:wAfter w:w="576" w:type="dxa"/>
        </w:trPr>
        <w:tc>
          <w:tcPr>
            <w:tcW w:w="236" w:type="dxa"/>
          </w:tcPr>
          <w:p w14:paraId="624D0EB8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Times New Roman"/>
              </w:rPr>
            </w:pPr>
          </w:p>
        </w:tc>
        <w:tc>
          <w:tcPr>
            <w:tcW w:w="2224" w:type="dxa"/>
          </w:tcPr>
          <w:p w14:paraId="413A8E4C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Địa </w:t>
            </w:r>
            <w:proofErr w:type="spellStart"/>
            <w:r>
              <w:rPr>
                <w:rFonts w:eastAsia="Times New Roman"/>
              </w:rPr>
              <w:t>chỉ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6311" w:type="dxa"/>
          </w:tcPr>
          <w:p w14:paraId="7E71D132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</w:tc>
      </w:tr>
    </w:tbl>
    <w:p w14:paraId="165AEA0C" w14:textId="77777777" w:rsidR="00CA6954" w:rsidRDefault="00CA6954" w:rsidP="00CA6954">
      <w:pPr>
        <w:keepNext/>
        <w:spacing w:line="276" w:lineRule="auto"/>
        <w:jc w:val="both"/>
        <w:rPr>
          <w:i/>
        </w:rPr>
      </w:pPr>
      <w:r>
        <w:rPr>
          <w:i/>
        </w:rPr>
        <w:t xml:space="preserve">Sau </w:t>
      </w:r>
      <w:proofErr w:type="spellStart"/>
      <w:r>
        <w:rPr>
          <w:i/>
        </w:rPr>
        <w:t>đây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“</w:t>
      </w:r>
      <w:proofErr w:type="spellStart"/>
      <w:r>
        <w:rPr>
          <w:b/>
          <w:i/>
        </w:rPr>
        <w:t>Bên</w:t>
      </w:r>
      <w:proofErr w:type="spellEnd"/>
      <w:r>
        <w:rPr>
          <w:b/>
          <w:i/>
        </w:rPr>
        <w:t xml:space="preserve"> Mua</w:t>
      </w:r>
      <w:r>
        <w:rPr>
          <w:i/>
        </w:rPr>
        <w:t>”.</w:t>
      </w:r>
    </w:p>
    <w:p w14:paraId="38D19684" w14:textId="77777777" w:rsidR="00CA6954" w:rsidRDefault="00CA6954" w:rsidP="00CA6954">
      <w:pPr>
        <w:keepNext/>
        <w:spacing w:line="276" w:lineRule="auto"/>
        <w:jc w:val="both"/>
        <w:rPr>
          <w:b/>
        </w:rPr>
      </w:pPr>
    </w:p>
    <w:p w14:paraId="5B881CB8" w14:textId="77777777" w:rsidR="00CA6954" w:rsidRDefault="00CA6954" w:rsidP="00CA6954">
      <w:pPr>
        <w:keepNext/>
        <w:spacing w:line="276" w:lineRule="auto"/>
        <w:jc w:val="both"/>
      </w:pPr>
      <w:proofErr w:type="spellStart"/>
      <w:r>
        <w:t>Và</w:t>
      </w:r>
      <w:proofErr w:type="spellEnd"/>
    </w:p>
    <w:p w14:paraId="0FC2A5B9" w14:textId="77777777" w:rsidR="00CA6954" w:rsidRDefault="00CA6954" w:rsidP="00CA6954">
      <w:pPr>
        <w:keepNext/>
        <w:spacing w:line="276" w:lineRule="auto"/>
        <w:jc w:val="both"/>
        <w:rPr>
          <w:b/>
        </w:rPr>
      </w:pPr>
    </w:p>
    <w:tbl>
      <w:tblPr>
        <w:tblW w:w="9661" w:type="dxa"/>
        <w:tblLayout w:type="fixed"/>
        <w:tblLook w:val="0400" w:firstRow="0" w:lastRow="0" w:firstColumn="0" w:lastColumn="0" w:noHBand="0" w:noVBand="1"/>
      </w:tblPr>
      <w:tblGrid>
        <w:gridCol w:w="236"/>
        <w:gridCol w:w="2249"/>
        <w:gridCol w:w="6686"/>
        <w:gridCol w:w="490"/>
      </w:tblGrid>
      <w:tr w:rsidR="00CA6954" w14:paraId="29C49A41" w14:textId="77777777" w:rsidTr="00CA6954">
        <w:tc>
          <w:tcPr>
            <w:tcW w:w="9661" w:type="dxa"/>
            <w:gridSpan w:val="4"/>
            <w:vAlign w:val="center"/>
          </w:tcPr>
          <w:p w14:paraId="395C6CBE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7D7708">
              <w:rPr>
                <w:rFonts w:eastAsia="Times New Roman"/>
                <w:b/>
                <w:noProof/>
              </w:rPr>
              <w:t xml:space="preserve">CÔNG TY </w:t>
            </w: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</w:tc>
      </w:tr>
      <w:tr w:rsidR="00CA6954" w14:paraId="40EA9C15" w14:textId="77777777" w:rsidTr="00CA6954">
        <w:trPr>
          <w:gridAfter w:val="1"/>
          <w:wAfter w:w="500" w:type="dxa"/>
        </w:trPr>
        <w:tc>
          <w:tcPr>
            <w:tcW w:w="52" w:type="dxa"/>
          </w:tcPr>
          <w:p w14:paraId="765E724C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Times New Roman"/>
                <w:b/>
              </w:rPr>
            </w:pPr>
          </w:p>
        </w:tc>
        <w:tc>
          <w:tcPr>
            <w:tcW w:w="2290" w:type="dxa"/>
          </w:tcPr>
          <w:p w14:paraId="2053C0C7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Giấy</w:t>
            </w:r>
            <w:proofErr w:type="spellEnd"/>
            <w:r>
              <w:rPr>
                <w:rFonts w:eastAsia="Times New Roman"/>
              </w:rPr>
              <w:t xml:space="preserve"> CNĐKDN </w:t>
            </w:r>
            <w:proofErr w:type="spellStart"/>
            <w:r>
              <w:rPr>
                <w:rFonts w:eastAsia="Times New Roman"/>
              </w:rPr>
              <w:t>số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6819" w:type="dxa"/>
          </w:tcPr>
          <w:p w14:paraId="48174CD0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color w:val="FF0000"/>
              </w:rPr>
              <w:t>[_]</w:t>
            </w:r>
            <w:proofErr w:type="spellStart"/>
            <w:r>
              <w:rPr>
                <w:rFonts w:eastAsia="Times New Roman"/>
              </w:rPr>
              <w:t>do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t xml:space="preserve">Sở kế hoạch và đầu tư </w:t>
            </w:r>
            <w:r>
              <w:rPr>
                <w:rFonts w:eastAsia="Times New Roman"/>
                <w:b/>
                <w:noProof/>
                <w:color w:val="FF0000"/>
              </w:rPr>
              <w:t xml:space="preserve">[_] </w:t>
            </w:r>
            <w:r>
              <w:rPr>
                <w:rFonts w:eastAsia="Times New Roman"/>
                <w:noProof/>
              </w:rPr>
              <w:t xml:space="preserve">cấp </w:t>
            </w:r>
          </w:p>
        </w:tc>
      </w:tr>
      <w:tr w:rsidR="00CA6954" w14:paraId="0BC07702" w14:textId="77777777" w:rsidTr="00CA6954">
        <w:trPr>
          <w:gridAfter w:val="1"/>
          <w:wAfter w:w="500" w:type="dxa"/>
        </w:trPr>
        <w:tc>
          <w:tcPr>
            <w:tcW w:w="52" w:type="dxa"/>
          </w:tcPr>
          <w:p w14:paraId="0372A747" w14:textId="77777777" w:rsidR="00CA6954" w:rsidRDefault="00CA6954" w:rsidP="0041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Times New Roman"/>
              </w:rPr>
            </w:pPr>
          </w:p>
        </w:tc>
        <w:tc>
          <w:tcPr>
            <w:tcW w:w="2290" w:type="dxa"/>
          </w:tcPr>
          <w:p w14:paraId="6087F382" w14:textId="77777777" w:rsidR="00CA6954" w:rsidRDefault="00CA6954" w:rsidP="00410B3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Địa </w:t>
            </w:r>
            <w:proofErr w:type="spellStart"/>
            <w:r>
              <w:rPr>
                <w:rFonts w:eastAsia="Times New Roman"/>
              </w:rPr>
              <w:t>chỉ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6819" w:type="dxa"/>
          </w:tcPr>
          <w:p w14:paraId="3896C997" w14:textId="4E83BECB" w:rsidR="00CA6954" w:rsidRPr="00CA6954" w:rsidRDefault="00CA6954" w:rsidP="00410B3B">
            <w:pPr>
              <w:spacing w:line="276" w:lineRule="auto"/>
              <w:jc w:val="both"/>
              <w:rPr>
                <w:rFonts w:eastAsia="Times New Roman"/>
                <w:b/>
                <w:noProof/>
                <w:color w:val="FF0000"/>
              </w:rPr>
            </w:pP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</w:tc>
      </w:tr>
    </w:tbl>
    <w:p w14:paraId="71A23056" w14:textId="77777777" w:rsidR="00CA6954" w:rsidRDefault="00CA6954" w:rsidP="00CA6954">
      <w:pPr>
        <w:spacing w:line="276" w:lineRule="auto"/>
        <w:jc w:val="both"/>
        <w:rPr>
          <w:b/>
        </w:rPr>
      </w:pPr>
      <w:r>
        <w:rPr>
          <w:i/>
        </w:rPr>
        <w:t xml:space="preserve">Sau </w:t>
      </w:r>
      <w:proofErr w:type="spellStart"/>
      <w:r>
        <w:rPr>
          <w:i/>
        </w:rPr>
        <w:t>đây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“</w:t>
      </w:r>
      <w:proofErr w:type="spellStart"/>
      <w:r>
        <w:rPr>
          <w:b/>
          <w:i/>
        </w:rPr>
        <w:t>Bên</w:t>
      </w:r>
      <w:proofErr w:type="spellEnd"/>
      <w:r>
        <w:rPr>
          <w:b/>
          <w:i/>
        </w:rPr>
        <w:t xml:space="preserve"> Bán</w:t>
      </w:r>
      <w:r>
        <w:rPr>
          <w:i/>
        </w:rPr>
        <w:t>”.</w:t>
      </w:r>
    </w:p>
    <w:p w14:paraId="76253E50" w14:textId="77777777" w:rsidR="00CA6954" w:rsidRDefault="00CA6954" w:rsidP="00CA6954">
      <w:pPr>
        <w:spacing w:line="276" w:lineRule="auto"/>
        <w:jc w:val="both"/>
        <w:rPr>
          <w:i/>
        </w:rPr>
      </w:pPr>
      <w:r>
        <w:rPr>
          <w:i/>
        </w:rPr>
        <w:t xml:space="preserve">Trong </w:t>
      </w:r>
      <w:proofErr w:type="spellStart"/>
      <w:r>
        <w:rPr>
          <w:i/>
        </w:rPr>
        <w:t>Hợp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Đồng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này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Bên</w:t>
      </w:r>
      <w:proofErr w:type="spellEnd"/>
      <w:r>
        <w:rPr>
          <w:i/>
        </w:rPr>
        <w:t xml:space="preserve"> Mua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Bên</w:t>
      </w:r>
      <w:proofErr w:type="spellEnd"/>
      <w:r>
        <w:rPr>
          <w:i/>
        </w:rPr>
        <w:t xml:space="preserve"> Bán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Các </w:t>
      </w:r>
      <w:proofErr w:type="spellStart"/>
      <w:r>
        <w:rPr>
          <w:i/>
        </w:rPr>
        <w:t>Bên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riêng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Bên</w:t>
      </w:r>
      <w:proofErr w:type="spellEnd"/>
      <w:r>
        <w:rPr>
          <w:i/>
        </w:rPr>
        <w:t xml:space="preserve">. </w:t>
      </w:r>
    </w:p>
    <w:p w14:paraId="0DD472A2" w14:textId="77777777" w:rsidR="00CA6954" w:rsidRDefault="00CA6954" w:rsidP="00CA6954">
      <w:pPr>
        <w:spacing w:line="276" w:lineRule="auto"/>
        <w:jc w:val="both"/>
        <w:rPr>
          <w:b/>
        </w:rPr>
      </w:pPr>
      <w:r>
        <w:rPr>
          <w:b/>
        </w:rPr>
        <w:t>XÉT RẰNG</w:t>
      </w:r>
    </w:p>
    <w:p w14:paraId="2A3E7629" w14:textId="77777777" w:rsidR="00CA6954" w:rsidRDefault="00CA6954" w:rsidP="00CA6954">
      <w:pPr>
        <w:numPr>
          <w:ilvl w:val="0"/>
          <w:numId w:val="2"/>
        </w:numPr>
        <w:spacing w:line="276" w:lineRule="auto"/>
        <w:ind w:hanging="720"/>
        <w:jc w:val="both"/>
      </w:pPr>
      <w:r>
        <w:rPr>
          <w:noProof/>
        </w:rPr>
        <w:t xml:space="preserve">CÔNG TY </w:t>
      </w:r>
      <w:r>
        <w:rPr>
          <w:rFonts w:eastAsia="Times New Roman"/>
          <w:b/>
          <w:noProof/>
          <w:color w:val="FF0000"/>
        </w:rPr>
        <w:t xml:space="preserve">[_]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Công ty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>[_]</w:t>
      </w:r>
      <w:r>
        <w:t xml:space="preserve">do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>[_]</w:t>
      </w:r>
      <w:r>
        <w:rPr>
          <w:lang w:val="vi-VN"/>
        </w:rP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>[_]</w:t>
      </w:r>
      <w:r>
        <w:rPr>
          <w:lang w:val="vi-VN"/>
        </w:rPr>
        <w:t>.</w:t>
      </w:r>
    </w:p>
    <w:p w14:paraId="3947DD69" w14:textId="77777777" w:rsidR="00CA6954" w:rsidRDefault="00CA6954" w:rsidP="00CA6954">
      <w:pPr>
        <w:numPr>
          <w:ilvl w:val="0"/>
          <w:numId w:val="2"/>
        </w:numPr>
        <w:spacing w:line="276" w:lineRule="auto"/>
        <w:ind w:hanging="720"/>
        <w:jc w:val="both"/>
      </w:pPr>
      <w:proofErr w:type="spellStart"/>
      <w:r>
        <w:t>Bên</w:t>
      </w:r>
      <w:proofErr w:type="spellEnd"/>
      <w:r>
        <w:t xml:space="preserve"> Bán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 xml:space="preserve">[_]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 xml:space="preserve">[_] </w:t>
      </w:r>
      <w:proofErr w:type="spellStart"/>
      <w:r>
        <w:rPr>
          <w:color w:val="000000"/>
        </w:rPr>
        <w:t>chiếm</w:t>
      </w:r>
      <w:proofErr w:type="spellEnd"/>
      <w:r>
        <w:rPr>
          <w:color w:val="000000"/>
        </w:rPr>
        <w:t xml:space="preserve"> </w:t>
      </w:r>
      <w:r>
        <w:rPr>
          <w:rFonts w:eastAsia="Times New Roman"/>
          <w:b/>
          <w:noProof/>
          <w:color w:val="FF0000"/>
        </w:rPr>
        <w:t>[</w:t>
      </w:r>
      <w:proofErr w:type="gramStart"/>
      <w:r>
        <w:rPr>
          <w:rFonts w:eastAsia="Times New Roman"/>
          <w:b/>
          <w:noProof/>
          <w:color w:val="FF0000"/>
        </w:rPr>
        <w:t>_]</w:t>
      </w:r>
      <w:r>
        <w:rPr>
          <w:lang w:val="vi-VN"/>
        </w:rPr>
        <w:t>%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r>
        <w:t xml:space="preserve">Công ty. </w:t>
      </w:r>
      <w:proofErr w:type="spellStart"/>
      <w:r>
        <w:t>Bên</w:t>
      </w:r>
      <w:proofErr w:type="spellEnd"/>
      <w:r>
        <w:t xml:space="preserve"> Bán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 xml:space="preserve">[_]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Mua. </w:t>
      </w:r>
    </w:p>
    <w:p w14:paraId="1505C8CF" w14:textId="77777777" w:rsidR="00CA6954" w:rsidRDefault="00CA6954" w:rsidP="00CA6954">
      <w:pPr>
        <w:numPr>
          <w:ilvl w:val="0"/>
          <w:numId w:val="2"/>
        </w:numPr>
        <w:spacing w:line="276" w:lineRule="auto"/>
        <w:ind w:hanging="720"/>
        <w:jc w:val="both"/>
        <w:rPr>
          <w:b/>
        </w:rPr>
      </w:pPr>
      <w:proofErr w:type="spellStart"/>
      <w:r>
        <w:t>Bên</w:t>
      </w:r>
      <w:proofErr w:type="spellEnd"/>
      <w:r>
        <w:t xml:space="preserve"> Mua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r>
        <w:rPr>
          <w:rFonts w:eastAsia="Times New Roman"/>
          <w:b/>
          <w:noProof/>
          <w:color w:val="FF0000"/>
        </w:rPr>
        <w:t xml:space="preserve">[_]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Bán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19F56180" w14:textId="77777777" w:rsidR="00CA6954" w:rsidRDefault="00CA6954" w:rsidP="00CA6954">
      <w:pPr>
        <w:spacing w:line="276" w:lineRule="auto"/>
        <w:jc w:val="both"/>
      </w:pPr>
      <w:r>
        <w:rPr>
          <w:b/>
        </w:rPr>
        <w:t xml:space="preserve">DO VẬY, </w:t>
      </w:r>
      <w:r>
        <w:t xml:space="preserve">Các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5AA3D18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GIAO DỊCH CHUYỂN NHƯỢNG CỔ PHẦN </w:t>
      </w:r>
    </w:p>
    <w:p w14:paraId="1EF6BA81" w14:textId="77777777" w:rsidR="00CA6954" w:rsidRDefault="00CA6954" w:rsidP="00CA6954">
      <w:pPr>
        <w:numPr>
          <w:ilvl w:val="1"/>
          <w:numId w:val="3"/>
        </w:numPr>
        <w:spacing w:line="276" w:lineRule="auto"/>
        <w:ind w:left="567" w:hanging="567"/>
        <w:jc w:val="both"/>
      </w:pP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>:</w:t>
      </w:r>
    </w:p>
    <w:p w14:paraId="7A5DB935" w14:textId="77777777" w:rsidR="00CA6954" w:rsidRDefault="00CA6954" w:rsidP="00CA69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</w:rPr>
      </w:pP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>.</w:t>
      </w:r>
    </w:p>
    <w:p w14:paraId="789717FE" w14:textId="77777777" w:rsidR="00CA6954" w:rsidRDefault="00CA6954" w:rsidP="00CA69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: </w:t>
      </w:r>
      <w:r>
        <w:rPr>
          <w:rFonts w:eastAsia="Times New Roman"/>
          <w:b/>
          <w:noProof/>
          <w:color w:val="FF0000"/>
        </w:rPr>
        <w:t xml:space="preserve">[_]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>.</w:t>
      </w:r>
    </w:p>
    <w:p w14:paraId="57806149" w14:textId="77777777" w:rsidR="00CA6954" w:rsidRDefault="00CA6954" w:rsidP="00CA6954">
      <w:pPr>
        <w:numPr>
          <w:ilvl w:val="1"/>
          <w:numId w:val="3"/>
        </w:numPr>
        <w:spacing w:line="276" w:lineRule="auto"/>
        <w:ind w:left="567" w:hanging="567"/>
        <w:jc w:val="both"/>
      </w:pPr>
      <w:proofErr w:type="spellStart"/>
      <w:r>
        <w:t>Giá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: </w:t>
      </w:r>
    </w:p>
    <w:p w14:paraId="73210AA7" w14:textId="77777777" w:rsidR="00CA6954" w:rsidRDefault="00CA6954" w:rsidP="00CA6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</w:pP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: </w:t>
      </w:r>
      <w:r>
        <w:rPr>
          <w:rFonts w:eastAsia="Times New Roman"/>
          <w:b/>
          <w:noProof/>
          <w:color w:val="FF0000"/>
        </w:rPr>
        <w:t xml:space="preserve">[_] </w:t>
      </w:r>
      <w:r>
        <w:rPr>
          <w:lang w:val="vi-VN"/>
        </w:rPr>
        <w:t>đồng</w:t>
      </w:r>
      <w:r>
        <w:t>.</w:t>
      </w:r>
    </w:p>
    <w:p w14:paraId="55A2A067" w14:textId="77777777" w:rsidR="00CA6954" w:rsidRDefault="00CA6954" w:rsidP="00CA6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134" w:hanging="567"/>
        <w:jc w:val="both"/>
      </w:pP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: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rPr>
          <w:color w:val="000000"/>
        </w:rPr>
        <w:t>.</w:t>
      </w:r>
    </w:p>
    <w:p w14:paraId="5AF07372" w14:textId="77777777" w:rsidR="00CA6954" w:rsidRDefault="00CA6954" w:rsidP="00CA6954">
      <w:pPr>
        <w:numPr>
          <w:ilvl w:val="1"/>
          <w:numId w:val="3"/>
        </w:numP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Mua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1.1, 1.2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>.</w:t>
      </w:r>
    </w:p>
    <w:p w14:paraId="5589C90F" w14:textId="77777777" w:rsidR="00CA6954" w:rsidRDefault="00CA6954" w:rsidP="00CA6954">
      <w:pPr>
        <w:spacing w:line="276" w:lineRule="auto"/>
        <w:jc w:val="both"/>
        <w:rPr>
          <w:b/>
        </w:rPr>
      </w:pPr>
    </w:p>
    <w:p w14:paraId="21F32CD4" w14:textId="77777777" w:rsidR="00CA6954" w:rsidRPr="009F0527" w:rsidRDefault="00CA6954" w:rsidP="00CA6954">
      <w:pPr>
        <w:widowControl w:val="0"/>
        <w:tabs>
          <w:tab w:val="left" w:pos="1620"/>
        </w:tabs>
        <w:spacing w:line="276" w:lineRule="auto"/>
        <w:ind w:left="426" w:hanging="426"/>
        <w:jc w:val="both"/>
        <w:rPr>
          <w:b/>
          <w:bCs/>
        </w:rPr>
      </w:pPr>
      <w:r w:rsidRPr="009F0527">
        <w:rPr>
          <w:b/>
          <w:bCs/>
        </w:rPr>
        <w:t>CAM KẾT VÀ BẢO ĐẢM CỦA BÊN MUA</w:t>
      </w:r>
    </w:p>
    <w:p w14:paraId="090B7578" w14:textId="77777777" w:rsidR="00CA6954" w:rsidRDefault="00CA6954" w:rsidP="00CA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>;</w:t>
      </w:r>
    </w:p>
    <w:p w14:paraId="17A635C4" w14:textId="77777777" w:rsidR="00CA6954" w:rsidRDefault="00CA6954" w:rsidP="00CA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Bán;</w:t>
      </w:r>
    </w:p>
    <w:p w14:paraId="5E696A61" w14:textId="77777777" w:rsidR="00CA6954" w:rsidRDefault="00CA6954" w:rsidP="00CA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Việt Nam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Việt Nam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bổ</w:t>
      </w:r>
      <w:proofErr w:type="spellEnd"/>
      <w:r>
        <w:rPr>
          <w:color w:val="000000"/>
        </w:rPr>
        <w:t xml:space="preserve"> sung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;</w:t>
      </w:r>
    </w:p>
    <w:p w14:paraId="0D2304B3" w14:textId="77777777" w:rsidR="00CA6954" w:rsidRDefault="00CA6954" w:rsidP="00CA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t>;</w:t>
      </w:r>
    </w:p>
    <w:p w14:paraId="13780B5D" w14:textId="77777777" w:rsidR="00CA6954" w:rsidRDefault="00CA6954" w:rsidP="00CA6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</w:pPr>
      <w:proofErr w:type="spellStart"/>
      <w:r>
        <w:t>Bên</w:t>
      </w:r>
      <w:proofErr w:type="spellEnd"/>
      <w:r>
        <w:t xml:space="preserve"> Bán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14:paraId="7F58BB6F" w14:textId="77777777" w:rsidR="00CA6954" w:rsidRDefault="00CA6954" w:rsidP="00CA6954">
      <w:pPr>
        <w:spacing w:line="276" w:lineRule="auto"/>
        <w:jc w:val="both"/>
      </w:pPr>
    </w:p>
    <w:p w14:paraId="0A1B8A90" w14:textId="77777777" w:rsidR="00CA6954" w:rsidRPr="009F0527" w:rsidRDefault="00CA6954" w:rsidP="00CA6954">
      <w:pPr>
        <w:widowControl w:val="0"/>
        <w:spacing w:line="276" w:lineRule="auto"/>
        <w:ind w:left="567" w:hanging="567"/>
        <w:jc w:val="both"/>
        <w:rPr>
          <w:b/>
          <w:bCs/>
        </w:rPr>
      </w:pPr>
      <w:r w:rsidRPr="009F0527">
        <w:rPr>
          <w:b/>
          <w:bCs/>
          <w:lang w:val="vi-VN"/>
        </w:rPr>
        <w:t>CAM</w:t>
      </w:r>
      <w:r w:rsidRPr="009F0527">
        <w:rPr>
          <w:b/>
          <w:bCs/>
        </w:rPr>
        <w:t xml:space="preserve"> KẾT VÀ BẢO ĐẢM CỦA BÊN BÁN</w:t>
      </w:r>
    </w:p>
    <w:p w14:paraId="5D9F65E4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r>
        <w:t>Công ty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>;</w:t>
      </w:r>
    </w:p>
    <w:p w14:paraId="4714C2C8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Giao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r>
        <w:t>Công ty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>;</w:t>
      </w:r>
    </w:p>
    <w:p w14:paraId="02813C2A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Công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Mua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Mua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Bán;</w:t>
      </w:r>
    </w:p>
    <w:p w14:paraId="32EDD201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Thanh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>;</w:t>
      </w:r>
    </w:p>
    <w:p w14:paraId="689E336D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Cung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);</w:t>
      </w:r>
    </w:p>
    <w:p w14:paraId="1827BCE2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Việt Nam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Việt Nam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bổ</w:t>
      </w:r>
      <w:proofErr w:type="spellEnd"/>
      <w:r>
        <w:rPr>
          <w:color w:val="000000"/>
        </w:rPr>
        <w:t xml:space="preserve"> sung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);</w:t>
      </w:r>
    </w:p>
    <w:p w14:paraId="4785ED3D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hay </w:t>
      </w:r>
      <w:proofErr w:type="spellStart"/>
      <w:r>
        <w:rPr>
          <w:color w:val="000000"/>
        </w:rPr>
        <w:t>đòi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 hay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Mua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Mua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Bán;</w:t>
      </w:r>
    </w:p>
    <w:p w14:paraId="77EB0D68" w14:textId="77777777" w:rsidR="00CA6954" w:rsidRDefault="00CA6954" w:rsidP="00CA69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>.</w:t>
      </w:r>
    </w:p>
    <w:p w14:paraId="0F6E3D3B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32FAA06" w14:textId="77777777" w:rsidR="00CA6954" w:rsidRPr="009F0527" w:rsidRDefault="00CA6954" w:rsidP="00CA6954">
      <w:pPr>
        <w:widowControl w:val="0"/>
        <w:tabs>
          <w:tab w:val="left" w:pos="1620"/>
        </w:tabs>
        <w:spacing w:line="276" w:lineRule="auto"/>
        <w:ind w:left="567" w:hanging="567"/>
        <w:jc w:val="both"/>
        <w:rPr>
          <w:b/>
          <w:bCs/>
        </w:rPr>
      </w:pPr>
      <w:r w:rsidRPr="009F0527">
        <w:rPr>
          <w:b/>
          <w:bCs/>
        </w:rPr>
        <w:t>LUẬT ÁP DỤNG VÀ GIẢI QUYẾT TRANH CHẤP</w:t>
      </w:r>
    </w:p>
    <w:p w14:paraId="269A5464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Trong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giữa</w:t>
      </w:r>
      <w:proofErr w:type="spellEnd"/>
      <w:r>
        <w:rPr>
          <w:color w:val="000000"/>
        </w:rPr>
        <w:t xml:space="preserve"> Các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. Trong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Nam.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nghĩa</w:t>
      </w:r>
      <w:proofErr w:type="spellEnd"/>
      <w:r>
        <w:rPr>
          <w:color w:val="000000"/>
        </w:rPr>
        <w:t xml:space="preserve"> Việt Nam.</w:t>
      </w:r>
    </w:p>
    <w:p w14:paraId="09A43A40" w14:textId="77777777" w:rsidR="00CA6954" w:rsidRDefault="00CA6954" w:rsidP="00CA6954">
      <w:pPr>
        <w:widowControl w:val="0"/>
        <w:numPr>
          <w:ilvl w:val="0"/>
          <w:numId w:val="4"/>
        </w:numPr>
        <w:tabs>
          <w:tab w:val="left" w:pos="1620"/>
        </w:tabs>
        <w:spacing w:line="276" w:lineRule="auto"/>
        <w:jc w:val="both"/>
      </w:pPr>
    </w:p>
    <w:p w14:paraId="7C5B6C62" w14:textId="77777777" w:rsidR="00CA6954" w:rsidRPr="009F0527" w:rsidRDefault="00CA6954" w:rsidP="00CA6954">
      <w:pPr>
        <w:widowControl w:val="0"/>
        <w:spacing w:line="276" w:lineRule="auto"/>
        <w:ind w:left="567" w:hanging="567"/>
        <w:jc w:val="both"/>
        <w:rPr>
          <w:b/>
          <w:bCs/>
        </w:rPr>
      </w:pPr>
      <w:r w:rsidRPr="009F0527">
        <w:rPr>
          <w:b/>
          <w:bCs/>
        </w:rPr>
        <w:t>THỰC HIỆN</w:t>
      </w:r>
    </w:p>
    <w:p w14:paraId="5A59E236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03 (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Việt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01 (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>, 01 (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r>
        <w:t>Công ty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>.</w:t>
      </w:r>
    </w:p>
    <w:p w14:paraId="45482023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B05B57B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ĐỂ LÀM BẰNG CHỨNG, </w:t>
      </w:r>
      <w:r>
        <w:rPr>
          <w:color w:val="000000"/>
        </w:rPr>
        <w:t xml:space="preserve">Các </w:t>
      </w:r>
      <w:proofErr w:type="spellStart"/>
      <w:r>
        <w:rPr>
          <w:color w:val="000000"/>
        </w:rPr>
        <w:t>Bên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. </w:t>
      </w:r>
    </w:p>
    <w:p w14:paraId="25101690" w14:textId="77777777" w:rsidR="00CA6954" w:rsidRDefault="00CA6954" w:rsidP="00CA69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53E54EC" w14:textId="77777777" w:rsidR="00CA6954" w:rsidRDefault="00CA6954" w:rsidP="00CA6954">
      <w:pPr>
        <w:widowControl w:val="0"/>
        <w:spacing w:after="240" w:line="276" w:lineRule="auto"/>
        <w:jc w:val="center"/>
        <w:rPr>
          <w:b/>
        </w:rPr>
      </w:pP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Các </w:t>
      </w:r>
      <w:proofErr w:type="spellStart"/>
      <w:r>
        <w:rPr>
          <w:b/>
        </w:rPr>
        <w:t>Bên</w:t>
      </w:r>
      <w:proofErr w:type="spellEnd"/>
    </w:p>
    <w:tbl>
      <w:tblPr>
        <w:tblW w:w="9924" w:type="dxa"/>
        <w:tblInd w:w="-433" w:type="dxa"/>
        <w:tblLayout w:type="fixed"/>
        <w:tblLook w:val="0400" w:firstRow="0" w:lastRow="0" w:firstColumn="0" w:lastColumn="0" w:noHBand="0" w:noVBand="1"/>
      </w:tblPr>
      <w:tblGrid>
        <w:gridCol w:w="5016"/>
        <w:gridCol w:w="4908"/>
      </w:tblGrid>
      <w:tr w:rsidR="00CA6954" w14:paraId="1339E861" w14:textId="77777777" w:rsidTr="00CA6954">
        <w:trPr>
          <w:trHeight w:val="481"/>
        </w:trPr>
        <w:tc>
          <w:tcPr>
            <w:tcW w:w="5016" w:type="dxa"/>
          </w:tcPr>
          <w:p w14:paraId="734CCDEE" w14:textId="77777777" w:rsidR="00CA6954" w:rsidRDefault="00CA6954" w:rsidP="00410B3B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BÊN NHẬN CHUYỂN NHƯỢNG</w:t>
            </w:r>
          </w:p>
          <w:p w14:paraId="64850863" w14:textId="77777777" w:rsidR="00CA6954" w:rsidRDefault="00CA6954" w:rsidP="00410B3B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</w:p>
          <w:p w14:paraId="5E9FB194" w14:textId="77777777" w:rsidR="00CA6954" w:rsidRDefault="00CA6954" w:rsidP="00410B3B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908" w:type="dxa"/>
          </w:tcPr>
          <w:p w14:paraId="2F6C5F05" w14:textId="77777777" w:rsidR="00CA6954" w:rsidRDefault="00CA6954" w:rsidP="00410B3B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BÊN CHUYỂN NHƯỢNG</w:t>
            </w:r>
          </w:p>
          <w:p w14:paraId="6B861E00" w14:textId="77777777" w:rsidR="00CA6954" w:rsidRDefault="00CA6954" w:rsidP="00410B3B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CA6954" w14:paraId="703BEE83" w14:textId="77777777" w:rsidTr="00CA6954">
        <w:trPr>
          <w:trHeight w:val="2032"/>
        </w:trPr>
        <w:tc>
          <w:tcPr>
            <w:tcW w:w="5016" w:type="dxa"/>
          </w:tcPr>
          <w:p w14:paraId="2F9486D0" w14:textId="77777777" w:rsidR="00CA6954" w:rsidRDefault="00CA6954" w:rsidP="00410B3B">
            <w:pPr>
              <w:widowControl w:val="0"/>
              <w:spacing w:line="276" w:lineRule="auto"/>
              <w:rPr>
                <w:rFonts w:eastAsia="Times New Roman"/>
                <w:b/>
              </w:rPr>
            </w:pPr>
          </w:p>
          <w:p w14:paraId="7004AE87" w14:textId="77777777" w:rsidR="00CA6954" w:rsidRDefault="00CA6954" w:rsidP="00410B3B">
            <w:pPr>
              <w:widowControl w:val="0"/>
              <w:spacing w:line="276" w:lineRule="auto"/>
              <w:rPr>
                <w:rFonts w:eastAsia="Times New Roman"/>
                <w:b/>
              </w:rPr>
            </w:pPr>
          </w:p>
          <w:p w14:paraId="7EA8707E" w14:textId="77777777" w:rsidR="00CA6954" w:rsidRDefault="00CA6954" w:rsidP="00410B3B">
            <w:pPr>
              <w:widowControl w:val="0"/>
              <w:spacing w:line="276" w:lineRule="auto"/>
              <w:rPr>
                <w:rFonts w:eastAsia="Times New Roman"/>
                <w:b/>
              </w:rPr>
            </w:pPr>
          </w:p>
          <w:p w14:paraId="1EF090EE" w14:textId="77777777" w:rsidR="00CA6954" w:rsidRDefault="00CA6954" w:rsidP="00410B3B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</w:tc>
        <w:tc>
          <w:tcPr>
            <w:tcW w:w="4908" w:type="dxa"/>
          </w:tcPr>
          <w:p w14:paraId="0DF4B762" w14:textId="77777777" w:rsidR="00CA6954" w:rsidRDefault="00CA6954" w:rsidP="00410B3B">
            <w:pPr>
              <w:widowControl w:val="0"/>
              <w:spacing w:line="276" w:lineRule="auto"/>
              <w:rPr>
                <w:rFonts w:eastAsia="Times New Roman"/>
                <w:b/>
              </w:rPr>
            </w:pPr>
          </w:p>
          <w:p w14:paraId="002BD192" w14:textId="77777777" w:rsidR="00CA6954" w:rsidRDefault="00CA6954" w:rsidP="00410B3B">
            <w:pPr>
              <w:widowControl w:val="0"/>
              <w:spacing w:line="276" w:lineRule="auto"/>
              <w:rPr>
                <w:rFonts w:eastAsia="Times New Roman"/>
                <w:b/>
              </w:rPr>
            </w:pPr>
          </w:p>
          <w:p w14:paraId="2C136C89" w14:textId="77777777" w:rsidR="00CA6954" w:rsidRDefault="00CA6954" w:rsidP="00410B3B">
            <w:pPr>
              <w:widowControl w:val="0"/>
              <w:spacing w:line="276" w:lineRule="auto"/>
              <w:rPr>
                <w:rFonts w:eastAsia="Times New Roman"/>
                <w:b/>
              </w:rPr>
            </w:pPr>
          </w:p>
          <w:p w14:paraId="00379AD8" w14:textId="77777777" w:rsidR="00CA6954" w:rsidRDefault="00CA6954" w:rsidP="00410B3B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  <w:color w:val="FF0000"/>
              </w:rPr>
              <w:t>[_]</w:t>
            </w:r>
          </w:p>
        </w:tc>
      </w:tr>
    </w:tbl>
    <w:p w14:paraId="463A1193" w14:textId="77777777" w:rsidR="00CA6954" w:rsidRDefault="00CA6954" w:rsidP="00CA6954">
      <w:pPr>
        <w:spacing w:line="276" w:lineRule="auto"/>
      </w:pPr>
    </w:p>
    <w:p w14:paraId="3CC1118A" w14:textId="77777777" w:rsidR="00CA6954" w:rsidRDefault="00CA6954" w:rsidP="00CA6954"/>
    <w:p w14:paraId="55CAAC81" w14:textId="77777777" w:rsidR="00CA6954" w:rsidRDefault="00CA6954" w:rsidP="00CA6954">
      <w:pPr>
        <w:sectPr w:rsidR="00CA6954" w:rsidSect="00CA6954">
          <w:pgSz w:w="12240" w:h="15840"/>
          <w:pgMar w:top="1135" w:right="1134" w:bottom="1134" w:left="1134" w:header="720" w:footer="720" w:gutter="0"/>
          <w:pgNumType w:start="1"/>
          <w:cols w:space="720"/>
        </w:sectPr>
      </w:pPr>
    </w:p>
    <w:p w14:paraId="5B48B4BE" w14:textId="77777777" w:rsidR="00CA6954" w:rsidRDefault="00CA6954" w:rsidP="00CA6954"/>
    <w:p w14:paraId="157C4769" w14:textId="77777777" w:rsidR="00D61FA5" w:rsidRDefault="00D61FA5"/>
    <w:sectPr w:rsidR="00D61FA5" w:rsidSect="00CA6954">
      <w:type w:val="continuous"/>
      <w:pgSz w:w="12240" w:h="15840"/>
      <w:pgMar w:top="1135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3D0761"/>
    <w:multiLevelType w:val="multilevel"/>
    <w:tmpl w:val="79542F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761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22" w:hanging="720"/>
      </w:pPr>
    </w:lvl>
    <w:lvl w:ilvl="3">
      <w:start w:val="1"/>
      <w:numFmt w:val="decimal"/>
      <w:lvlText w:val="%1.%2.%3.%4"/>
      <w:lvlJc w:val="left"/>
      <w:pPr>
        <w:ind w:left="1923" w:hanging="720"/>
      </w:pPr>
    </w:lvl>
    <w:lvl w:ilvl="4">
      <w:start w:val="1"/>
      <w:numFmt w:val="decimal"/>
      <w:lvlText w:val="%1.%2.%3.%4.%5"/>
      <w:lvlJc w:val="left"/>
      <w:pPr>
        <w:ind w:left="2684" w:hanging="1080"/>
      </w:pPr>
    </w:lvl>
    <w:lvl w:ilvl="5">
      <w:start w:val="1"/>
      <w:numFmt w:val="decimal"/>
      <w:lvlText w:val="%1.%2.%3.%4.%5.%6"/>
      <w:lvlJc w:val="left"/>
      <w:pPr>
        <w:ind w:left="3085" w:hanging="1080"/>
      </w:pPr>
    </w:lvl>
    <w:lvl w:ilvl="6">
      <w:start w:val="1"/>
      <w:numFmt w:val="decimal"/>
      <w:lvlText w:val="%1.%2.%3.%4.%5.%6.%7"/>
      <w:lvlJc w:val="left"/>
      <w:pPr>
        <w:ind w:left="3846" w:hanging="1440"/>
      </w:pPr>
    </w:lvl>
    <w:lvl w:ilvl="7">
      <w:start w:val="1"/>
      <w:numFmt w:val="decimal"/>
      <w:lvlText w:val="%1.%2.%3.%4.%5.%6.%7.%8"/>
      <w:lvlJc w:val="left"/>
      <w:pPr>
        <w:ind w:left="4247" w:hanging="1440"/>
      </w:pPr>
    </w:lvl>
    <w:lvl w:ilvl="8">
      <w:start w:val="1"/>
      <w:numFmt w:val="decimal"/>
      <w:lvlText w:val="%1.%2.%3.%4.%5.%6.%7.%8.%9"/>
      <w:lvlJc w:val="left"/>
      <w:pPr>
        <w:ind w:left="5008" w:hanging="1800"/>
      </w:pPr>
    </w:lvl>
  </w:abstractNum>
  <w:abstractNum w:abstractNumId="1" w15:restartNumberingAfterBreak="1">
    <w:nsid w:val="13E443D2"/>
    <w:multiLevelType w:val="multilevel"/>
    <w:tmpl w:val="236E81A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1">
    <w:nsid w:val="171960D8"/>
    <w:multiLevelType w:val="multilevel"/>
    <w:tmpl w:val="271CC262"/>
    <w:lvl w:ilvl="0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A95581F"/>
    <w:multiLevelType w:val="multilevel"/>
    <w:tmpl w:val="ECE25BB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206841"/>
    <w:multiLevelType w:val="multilevel"/>
    <w:tmpl w:val="C08C30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F6A7AC2"/>
    <w:multiLevelType w:val="multilevel"/>
    <w:tmpl w:val="5B149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70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8938">
    <w:abstractNumId w:val="1"/>
  </w:num>
  <w:num w:numId="2" w16cid:durableId="1398671686">
    <w:abstractNumId w:val="2"/>
  </w:num>
  <w:num w:numId="3" w16cid:durableId="1674991975">
    <w:abstractNumId w:val="0"/>
  </w:num>
  <w:num w:numId="4" w16cid:durableId="343282790">
    <w:abstractNumId w:val="5"/>
  </w:num>
  <w:num w:numId="5" w16cid:durableId="1054936819">
    <w:abstractNumId w:val="4"/>
  </w:num>
  <w:num w:numId="6" w16cid:durableId="77922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54"/>
    <w:rsid w:val="002943B9"/>
    <w:rsid w:val="00693E9B"/>
    <w:rsid w:val="00811E27"/>
    <w:rsid w:val="00B67FB9"/>
    <w:rsid w:val="00CA6954"/>
    <w:rsid w:val="00D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584"/>
  <w15:chartTrackingRefBased/>
  <w15:docId w15:val="{B299AF96-B8C0-4D75-8283-56380F4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54"/>
    <w:pPr>
      <w:spacing w:before="60" w:after="6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Char Char,h1,H1,Chapter,Section Heading,Heading 1 St.George,MAIN HEADING,1. Level 1 Heading,c,No numbers,Chapter Heading,Main Heading,69%,Attribute Heading 1,h1 chapter heading,1.,L1,Head1,Heading apps,Section Header,A MAJOR/BOLD"/>
    <w:basedOn w:val="Normal"/>
    <w:next w:val="Normal"/>
    <w:link w:val="Heading1Char"/>
    <w:uiPriority w:val="9"/>
    <w:qFormat/>
    <w:rsid w:val="00CA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Sub-clause,Niveau 1 1,/Level 2,H2,Major,L2,Reset numbering,KJL:1st Level,PARA2,h 3,Numbered - 2,S Heading,S Heading 2,h2,Heading Two,(1.1,1.2,1.3 etc),Prophead 2,RFP Heading 2,Activity,l2,questions,Req group,h2 main heading,Section,2m,h 2,h2.H"/>
    <w:basedOn w:val="Normal"/>
    <w:next w:val="Normal"/>
    <w:link w:val="Heading2Char"/>
    <w:uiPriority w:val="9"/>
    <w:semiHidden/>
    <w:unhideWhenUsed/>
    <w:qFormat/>
    <w:rsid w:val="00CA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H3,H31,(Alt+3),h3 sub heading,Head 3,3m,h:3,Level 1 - 1,Heading 3 - St.George,1.1.1 Level 3 Headng,C Sub-Sub/Italic,Head 31,Head 32,C Sub-Sub/Italic1,3,Sub2Para,Paragraph,a,h31,h32,Para3,Heading 3a,h3 Char,H3 Char,H"/>
    <w:basedOn w:val="Normal"/>
    <w:next w:val="Normal"/>
    <w:link w:val="Heading3Char"/>
    <w:uiPriority w:val="9"/>
    <w:semiHidden/>
    <w:unhideWhenUsed/>
    <w:qFormat/>
    <w:rsid w:val="00CA6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4,H4,Minor,Heading 4 StGeorge,Level 2 - a,2nd sub-clause,4,h4 sub sub heading,(i),i,D Sub-Sub/Plain,bullet,bl,bb,h41,Proposal Title,(Alt+4),H41,(Alt+4)1,H42,(Alt+4)2,H43,(Alt+4)3,H44,(Alt+4)4,H45,(Alt+4)5,H411,(Alt+4)11,H421,(Alt+4)21,H431"/>
    <w:basedOn w:val="Normal"/>
    <w:next w:val="Normal"/>
    <w:link w:val="Heading4Char"/>
    <w:uiPriority w:val="9"/>
    <w:semiHidden/>
    <w:unhideWhenUsed/>
    <w:qFormat/>
    <w:rsid w:val="00CA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eading 5 StGeorge,H5,(A),Level 3 - i,A,Heading 5(unused),s,h5,1.1.1.1.1,Level 3 - (i),Para5,Para51,h51,h52,Sub4Para,L5,(A)Text,Document Title 2,Dot GS,Body Text (R),level5,Appendix A to X,Heading 5   Appendix A to X,Appendix A to X1,5,Level"/>
    <w:basedOn w:val="Normal"/>
    <w:next w:val="Normal"/>
    <w:link w:val="Heading5Char"/>
    <w:uiPriority w:val="9"/>
    <w:semiHidden/>
    <w:unhideWhenUsed/>
    <w:qFormat/>
    <w:rsid w:val="00CA6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A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A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2025-01-20T17:20:00Z</dcterms:created>
  <dcterms:modified xsi:type="dcterms:W3CDTF">2025-01-20T17:22:00Z</dcterms:modified>
</cp:coreProperties>
</file>